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FD2D32" w:rsidRDefault="00FD2D32" w:rsidP="00FD2D32">
      <w:pPr>
        <w:spacing w:line="480" w:lineRule="auto"/>
        <w:jc w:val="center"/>
        <w:rPr>
          <w:rFonts w:ascii="Times New Roman" w:hAnsi="Times New Roman" w:cs="Times New Roman"/>
          <w:sz w:val="24"/>
          <w:szCs w:val="24"/>
        </w:rPr>
      </w:pPr>
    </w:p>
    <w:p w:rsidR="0080412D" w:rsidRDefault="00F027D3" w:rsidP="00FD2D32">
      <w:pPr>
        <w:spacing w:line="480" w:lineRule="auto"/>
        <w:jc w:val="center"/>
        <w:rPr>
          <w:rFonts w:ascii="Times New Roman" w:hAnsi="Times New Roman" w:cs="Times New Roman"/>
          <w:sz w:val="24"/>
          <w:szCs w:val="24"/>
        </w:rPr>
      </w:pPr>
      <w:r>
        <w:rPr>
          <w:rFonts w:ascii="Times New Roman" w:hAnsi="Times New Roman" w:cs="Times New Roman"/>
          <w:sz w:val="24"/>
          <w:szCs w:val="24"/>
        </w:rPr>
        <w:t>Accounting Changes</w:t>
      </w:r>
    </w:p>
    <w:p w:rsidR="00FD2D32" w:rsidRDefault="00F027D3" w:rsidP="00FD2D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2D32" w:rsidRDefault="00F027D3" w:rsidP="00FD2D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2D32" w:rsidRPr="00FD2D32" w:rsidRDefault="00FD2D32" w:rsidP="00FD2D32">
      <w:pPr>
        <w:rPr>
          <w:rFonts w:ascii="Times New Roman" w:hAnsi="Times New Roman" w:cs="Times New Roman"/>
          <w:sz w:val="24"/>
          <w:szCs w:val="24"/>
        </w:rPr>
      </w:pPr>
    </w:p>
    <w:p w:rsidR="00FD2D32" w:rsidRPr="00FD2D32" w:rsidRDefault="00FD2D32" w:rsidP="00FD2D32">
      <w:pPr>
        <w:rPr>
          <w:rFonts w:ascii="Times New Roman" w:hAnsi="Times New Roman" w:cs="Times New Roman"/>
          <w:sz w:val="24"/>
          <w:szCs w:val="24"/>
        </w:rPr>
      </w:pPr>
    </w:p>
    <w:p w:rsidR="00FD2D32" w:rsidRPr="00FD2D32" w:rsidRDefault="00FD2D32" w:rsidP="00FD2D32">
      <w:pPr>
        <w:rPr>
          <w:rFonts w:ascii="Times New Roman" w:hAnsi="Times New Roman" w:cs="Times New Roman"/>
          <w:sz w:val="24"/>
          <w:szCs w:val="24"/>
        </w:rPr>
      </w:pPr>
    </w:p>
    <w:p w:rsidR="00FD2D32" w:rsidRPr="00FD2D32" w:rsidRDefault="00FD2D32" w:rsidP="00FD2D32">
      <w:pPr>
        <w:rPr>
          <w:rFonts w:ascii="Times New Roman" w:hAnsi="Times New Roman" w:cs="Times New Roman"/>
          <w:sz w:val="24"/>
          <w:szCs w:val="24"/>
        </w:rPr>
      </w:pPr>
    </w:p>
    <w:p w:rsidR="00FD2D32" w:rsidRDefault="00FD2D32" w:rsidP="00FD2D32">
      <w:pPr>
        <w:rPr>
          <w:rFonts w:ascii="Times New Roman" w:hAnsi="Times New Roman" w:cs="Times New Roman"/>
          <w:sz w:val="24"/>
          <w:szCs w:val="24"/>
        </w:rPr>
      </w:pPr>
    </w:p>
    <w:p w:rsidR="00FD2D32" w:rsidRDefault="00FD2D32" w:rsidP="00FD2D32">
      <w:pPr>
        <w:rPr>
          <w:rFonts w:ascii="Times New Roman" w:hAnsi="Times New Roman" w:cs="Times New Roman"/>
          <w:sz w:val="24"/>
          <w:szCs w:val="24"/>
        </w:rPr>
      </w:pPr>
    </w:p>
    <w:p w:rsidR="00FD2D32" w:rsidRDefault="00FD2D32" w:rsidP="00FD2D32">
      <w:pPr>
        <w:rPr>
          <w:rFonts w:ascii="Times New Roman" w:hAnsi="Times New Roman" w:cs="Times New Roman"/>
          <w:sz w:val="24"/>
          <w:szCs w:val="24"/>
        </w:rPr>
      </w:pPr>
    </w:p>
    <w:p w:rsidR="00FD2D32" w:rsidRDefault="00F027D3" w:rsidP="00FD2D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Accounting Changes</w:t>
      </w:r>
    </w:p>
    <w:p w:rsidR="00850E79" w:rsidRDefault="00F027D3" w:rsidP="00AB599E">
      <w:pPr>
        <w:spacing w:line="480" w:lineRule="auto"/>
        <w:rPr>
          <w:rFonts w:ascii="Times New Roman" w:hAnsi="Times New Roman" w:cs="Times New Roman"/>
          <w:b/>
          <w:sz w:val="24"/>
          <w:szCs w:val="24"/>
        </w:rPr>
      </w:pPr>
      <w:r w:rsidRPr="00850E79">
        <w:rPr>
          <w:rFonts w:ascii="Times New Roman" w:hAnsi="Times New Roman" w:cs="Times New Roman"/>
          <w:b/>
          <w:sz w:val="24"/>
          <w:szCs w:val="24"/>
        </w:rPr>
        <w:t>Situation I</w:t>
      </w:r>
    </w:p>
    <w:p w:rsidR="00850E79" w:rsidRDefault="00F027D3" w:rsidP="00AB599E">
      <w:pPr>
        <w:spacing w:line="480" w:lineRule="auto"/>
        <w:rPr>
          <w:rFonts w:ascii="Times New Roman" w:hAnsi="Times New Roman" w:cs="Times New Roman"/>
          <w:sz w:val="24"/>
          <w:szCs w:val="24"/>
        </w:rPr>
      </w:pPr>
      <w:r>
        <w:rPr>
          <w:rFonts w:ascii="Times New Roman" w:hAnsi="Times New Roman" w:cs="Times New Roman"/>
          <w:b/>
          <w:sz w:val="24"/>
          <w:szCs w:val="24"/>
        </w:rPr>
        <w:tab/>
      </w:r>
      <w:r w:rsidR="00B93EF9">
        <w:rPr>
          <w:rFonts w:ascii="Times New Roman" w:hAnsi="Times New Roman" w:cs="Times New Roman"/>
          <w:sz w:val="24"/>
          <w:szCs w:val="24"/>
        </w:rPr>
        <w:t xml:space="preserve">The change in this company is an estimated one that will involve reducing the depreciable lives of all its fixed assets within a five-year timeline. The change will alter the depreciation of its existing fixed assets to impact on the company's financial statements. The change will be made going forward. The manner of reporting will entail recording the identified change by restating the reported amounts in the financial statements of the previous year. The change will be examined to determine whether it has positive effects during the financial year that is made or future years. </w:t>
      </w:r>
      <w:r w:rsidR="005A22E5">
        <w:rPr>
          <w:rFonts w:ascii="Times New Roman" w:hAnsi="Times New Roman" w:cs="Times New Roman"/>
          <w:sz w:val="24"/>
          <w:szCs w:val="24"/>
        </w:rPr>
        <w:t xml:space="preserve"> In this regard, the company will determine whether the reduction of depreciable fixed assets match their costs as well as the revenue generated. Validation of its impacts will prompt the company to account for it. </w:t>
      </w:r>
    </w:p>
    <w:p w:rsidR="005A22E5" w:rsidRDefault="00F027D3" w:rsidP="00AB599E">
      <w:pPr>
        <w:spacing w:line="480" w:lineRule="auto"/>
        <w:rPr>
          <w:rFonts w:ascii="Times New Roman" w:hAnsi="Times New Roman" w:cs="Times New Roman"/>
          <w:sz w:val="24"/>
          <w:szCs w:val="24"/>
        </w:rPr>
      </w:pPr>
      <w:r>
        <w:rPr>
          <w:rFonts w:ascii="Times New Roman" w:hAnsi="Times New Roman" w:cs="Times New Roman"/>
          <w:sz w:val="24"/>
          <w:szCs w:val="24"/>
        </w:rPr>
        <w:tab/>
        <w:t>Moreover, the change must affect the estimated areas and accounted for prospectively. As a result, the change should estimate changes in the financial statements in the year of its implementation and future years. The est</w:t>
      </w:r>
      <w:r>
        <w:rPr>
          <w:rFonts w:ascii="Times New Roman" w:hAnsi="Times New Roman" w:cs="Times New Roman"/>
          <w:sz w:val="24"/>
          <w:szCs w:val="24"/>
        </w:rPr>
        <w:t>imates should reflect on restatement made at the beginning of the current financial period. The company will be able to use this prospective approach to estimate normal and recurring adjustments. The footnote disclosure for this company will include effect</w:t>
      </w:r>
      <w:r>
        <w:rPr>
          <w:rFonts w:ascii="Times New Roman" w:hAnsi="Times New Roman" w:cs="Times New Roman"/>
          <w:sz w:val="24"/>
          <w:szCs w:val="24"/>
        </w:rPr>
        <w:t xml:space="preserve">s that the change made on the income of the current year. </w:t>
      </w:r>
      <w:r w:rsidR="003F3479">
        <w:rPr>
          <w:rFonts w:ascii="Times New Roman" w:hAnsi="Times New Roman" w:cs="Times New Roman"/>
          <w:sz w:val="24"/>
          <w:szCs w:val="24"/>
        </w:rPr>
        <w:t xml:space="preserve"> The company will be able to determine its profitability and sustainability in the current year and future ones. </w:t>
      </w:r>
      <w:r>
        <w:rPr>
          <w:rFonts w:ascii="Times New Roman" w:hAnsi="Times New Roman" w:cs="Times New Roman"/>
          <w:sz w:val="24"/>
          <w:szCs w:val="24"/>
        </w:rPr>
        <w:t xml:space="preserve">Also, the </w:t>
      </w:r>
      <w:r w:rsidR="003F3479">
        <w:rPr>
          <w:rFonts w:ascii="Times New Roman" w:hAnsi="Times New Roman" w:cs="Times New Roman"/>
          <w:sz w:val="24"/>
          <w:szCs w:val="24"/>
        </w:rPr>
        <w:t xml:space="preserve">extraordinary assets such as earnings per share and net income should be disclosed to determine the amounts associated with the change. Material-related amounts can be used in making decisions regarding the users. </w:t>
      </w:r>
    </w:p>
    <w:p w:rsidR="003F3479" w:rsidRDefault="003F3479" w:rsidP="00AB599E">
      <w:pPr>
        <w:spacing w:line="480" w:lineRule="auto"/>
        <w:rPr>
          <w:rFonts w:ascii="Times New Roman" w:hAnsi="Times New Roman" w:cs="Times New Roman"/>
          <w:sz w:val="24"/>
          <w:szCs w:val="24"/>
        </w:rPr>
      </w:pPr>
    </w:p>
    <w:p w:rsidR="003F3479" w:rsidRPr="003F3479" w:rsidRDefault="00F027D3" w:rsidP="00AB599E">
      <w:pPr>
        <w:spacing w:line="480" w:lineRule="auto"/>
        <w:rPr>
          <w:rFonts w:ascii="Times New Roman" w:hAnsi="Times New Roman" w:cs="Times New Roman"/>
          <w:b/>
          <w:sz w:val="24"/>
          <w:szCs w:val="24"/>
        </w:rPr>
      </w:pPr>
      <w:r w:rsidRPr="003F3479">
        <w:rPr>
          <w:rFonts w:ascii="Times New Roman" w:hAnsi="Times New Roman" w:cs="Times New Roman"/>
          <w:b/>
          <w:sz w:val="24"/>
          <w:szCs w:val="24"/>
        </w:rPr>
        <w:lastRenderedPageBreak/>
        <w:t>Situation II</w:t>
      </w:r>
    </w:p>
    <w:p w:rsidR="003F3479" w:rsidRDefault="00F027D3" w:rsidP="00AB599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change </w:t>
      </w:r>
      <w:r w:rsidR="00FE306A">
        <w:rPr>
          <w:rFonts w:ascii="Times New Roman" w:hAnsi="Times New Roman" w:cs="Times New Roman"/>
          <w:sz w:val="24"/>
          <w:szCs w:val="24"/>
        </w:rPr>
        <w:t xml:space="preserve">in these companies </w:t>
      </w:r>
      <w:r>
        <w:rPr>
          <w:rFonts w:ascii="Times New Roman" w:hAnsi="Times New Roman" w:cs="Times New Roman"/>
          <w:sz w:val="24"/>
          <w:szCs w:val="24"/>
        </w:rPr>
        <w:t xml:space="preserve">is a change in reporting entity. In this regard, the company will be </w:t>
      </w:r>
      <w:r>
        <w:rPr>
          <w:rFonts w:ascii="Times New Roman" w:hAnsi="Times New Roman" w:cs="Times New Roman"/>
          <w:sz w:val="24"/>
          <w:szCs w:val="24"/>
        </w:rPr>
        <w:t>required to restate its financial statements. These changes are made when to, or more separate firms merge to become one entity</w:t>
      </w:r>
      <w:r w:rsidR="00577396">
        <w:rPr>
          <w:rFonts w:ascii="Times New Roman" w:hAnsi="Times New Roman" w:cs="Times New Roman"/>
          <w:sz w:val="24"/>
          <w:szCs w:val="24"/>
        </w:rPr>
        <w:t xml:space="preserve"> (Bragg, 2019)</w:t>
      </w:r>
      <w:r>
        <w:rPr>
          <w:rFonts w:ascii="Times New Roman" w:hAnsi="Times New Roman" w:cs="Times New Roman"/>
          <w:sz w:val="24"/>
          <w:szCs w:val="24"/>
        </w:rPr>
        <w:t xml:space="preserve">. </w:t>
      </w:r>
      <w:r w:rsidR="00595B46">
        <w:rPr>
          <w:rFonts w:ascii="Times New Roman" w:hAnsi="Times New Roman" w:cs="Times New Roman"/>
          <w:sz w:val="24"/>
          <w:szCs w:val="24"/>
        </w:rPr>
        <w:t xml:space="preserve"> In this regard, the entity will switch from one kind of reporting to another.  The two companies will be deviating from their existing accounting practices; therefore, they will need to modify their financial reports. </w:t>
      </w:r>
      <w:r>
        <w:rPr>
          <w:rFonts w:ascii="Times New Roman" w:hAnsi="Times New Roman" w:cs="Times New Roman"/>
          <w:sz w:val="24"/>
          <w:szCs w:val="24"/>
        </w:rPr>
        <w:t xml:space="preserve">Allen and Gary will be required to restate financial statements of prior years. The two companies will report the nature of </w:t>
      </w:r>
      <w:r w:rsidR="00595B46">
        <w:rPr>
          <w:rFonts w:ascii="Times New Roman" w:hAnsi="Times New Roman" w:cs="Times New Roman"/>
          <w:sz w:val="24"/>
          <w:szCs w:val="24"/>
        </w:rPr>
        <w:t>the consolidation approach, and it affected their income and the earnings per share in the current year and prior ones. Reporting will entail compiling financial statements of previous years to enable restatement of this information when reporting for the entity for all periods.</w:t>
      </w:r>
    </w:p>
    <w:p w:rsidR="00171CFC" w:rsidRDefault="00F027D3" w:rsidP="00AB599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Restating previous financial information will help the entity to assess its financial performance accurately based on the results of previous years. The change will force the two companies to restate the financial statements of years before the transformat</w:t>
      </w:r>
      <w:r>
        <w:rPr>
          <w:rFonts w:ascii="Times New Roman" w:hAnsi="Times New Roman" w:cs="Times New Roman"/>
          <w:sz w:val="24"/>
          <w:szCs w:val="24"/>
        </w:rPr>
        <w:t>ion into an entity. Information obtained will be used to compare different financial performance variables and adopt corrective measures. The reason and nature for change will need to be disclosed together with the financial statements. Therefore, the comp</w:t>
      </w:r>
      <w:r>
        <w:rPr>
          <w:rFonts w:ascii="Times New Roman" w:hAnsi="Times New Roman" w:cs="Times New Roman"/>
          <w:sz w:val="24"/>
          <w:szCs w:val="24"/>
        </w:rPr>
        <w:t>anies must include in the report that Gary adopted cost method as a result of political uncertainties in the country where Allen was located. Also, it will explain that Gary will be required to prepare consolidated financial statements for 2006 after confi</w:t>
      </w:r>
      <w:r>
        <w:rPr>
          <w:rFonts w:ascii="Times New Roman" w:hAnsi="Times New Roman" w:cs="Times New Roman"/>
          <w:sz w:val="24"/>
          <w:szCs w:val="24"/>
        </w:rPr>
        <w:t>rming that the political climate in Allen's country of location has been restored. The companies will prepare a consolidated financial statement rather separate ones for Allen and G</w:t>
      </w:r>
      <w:r w:rsidR="00577396">
        <w:rPr>
          <w:rFonts w:ascii="Times New Roman" w:hAnsi="Times New Roman" w:cs="Times New Roman"/>
          <w:sz w:val="24"/>
          <w:szCs w:val="24"/>
        </w:rPr>
        <w:t>ary.</w:t>
      </w:r>
    </w:p>
    <w:p w:rsidR="00171CFC" w:rsidRPr="00577396" w:rsidRDefault="00F027D3" w:rsidP="00AB599E">
      <w:pPr>
        <w:spacing w:line="480" w:lineRule="auto"/>
        <w:rPr>
          <w:rFonts w:ascii="Times New Roman" w:hAnsi="Times New Roman" w:cs="Times New Roman"/>
          <w:b/>
          <w:sz w:val="24"/>
          <w:szCs w:val="24"/>
        </w:rPr>
      </w:pPr>
      <w:r w:rsidRPr="00577396">
        <w:rPr>
          <w:rFonts w:ascii="Times New Roman" w:hAnsi="Times New Roman" w:cs="Times New Roman"/>
          <w:b/>
          <w:sz w:val="24"/>
          <w:szCs w:val="24"/>
        </w:rPr>
        <w:lastRenderedPageBreak/>
        <w:t>Situation III</w:t>
      </w:r>
    </w:p>
    <w:p w:rsidR="00171CFC" w:rsidRDefault="00F027D3" w:rsidP="00AB599E">
      <w:pPr>
        <w:spacing w:line="480" w:lineRule="auto"/>
        <w:rPr>
          <w:rFonts w:ascii="Times New Roman" w:hAnsi="Times New Roman" w:cs="Times New Roman"/>
          <w:sz w:val="24"/>
          <w:szCs w:val="24"/>
        </w:rPr>
      </w:pPr>
      <w:r>
        <w:rPr>
          <w:rFonts w:ascii="Times New Roman" w:hAnsi="Times New Roman" w:cs="Times New Roman"/>
          <w:sz w:val="24"/>
          <w:szCs w:val="24"/>
        </w:rPr>
        <w:tab/>
      </w:r>
      <w:r w:rsidR="00FE306A">
        <w:rPr>
          <w:rFonts w:ascii="Times New Roman" w:hAnsi="Times New Roman" w:cs="Times New Roman"/>
          <w:sz w:val="24"/>
          <w:szCs w:val="24"/>
        </w:rPr>
        <w:t>The change in this company is a change in accounting principle. The change will alter the way and how income is reported</w:t>
      </w:r>
      <w:r w:rsidR="002A3F79">
        <w:rPr>
          <w:rFonts w:ascii="Times New Roman" w:hAnsi="Times New Roman" w:cs="Times New Roman"/>
          <w:sz w:val="24"/>
          <w:szCs w:val="24"/>
        </w:rPr>
        <w:t xml:space="preserve">. </w:t>
      </w:r>
      <w:r w:rsidR="0076044E">
        <w:rPr>
          <w:rFonts w:ascii="Times New Roman" w:hAnsi="Times New Roman" w:cs="Times New Roman"/>
          <w:sz w:val="24"/>
          <w:szCs w:val="24"/>
        </w:rPr>
        <w:t xml:space="preserve"> The company changed its model by adopting a straight-line method for its depreciable plant equipment. The change will be applied on newly-acquired equipment as well as existing ones that have accelerated depreciation rates. </w:t>
      </w:r>
      <w:r w:rsidR="002A3F79">
        <w:rPr>
          <w:rFonts w:ascii="Times New Roman" w:hAnsi="Times New Roman" w:cs="Times New Roman"/>
          <w:sz w:val="24"/>
          <w:szCs w:val="24"/>
        </w:rPr>
        <w:t xml:space="preserve">The company will be required to restate financial statements for previous years. The financial information is restated to align with the new principle. The only exception to reports is when the company has made every possible effort and calculations cannot produce projected outcomes. </w:t>
      </w:r>
      <w:r w:rsidR="0076044E">
        <w:rPr>
          <w:rFonts w:ascii="Times New Roman" w:hAnsi="Times New Roman" w:cs="Times New Roman"/>
          <w:sz w:val="24"/>
          <w:szCs w:val="24"/>
        </w:rPr>
        <w:t>Also, financial statements need not be restated if the change is not regarded as a change in the new accounting principle. Remaining depreciation wil</w:t>
      </w:r>
      <w:r w:rsidR="000626FB">
        <w:rPr>
          <w:rFonts w:ascii="Times New Roman" w:hAnsi="Times New Roman" w:cs="Times New Roman"/>
          <w:sz w:val="24"/>
          <w:szCs w:val="24"/>
        </w:rPr>
        <w:t>l be recorded gradually over forthcoming</w:t>
      </w:r>
      <w:r w:rsidR="0076044E">
        <w:rPr>
          <w:rFonts w:ascii="Times New Roman" w:hAnsi="Times New Roman" w:cs="Times New Roman"/>
          <w:sz w:val="24"/>
          <w:szCs w:val="24"/>
        </w:rPr>
        <w:t xml:space="preserve"> financial periods </w:t>
      </w:r>
      <w:r w:rsidR="000626FB">
        <w:rPr>
          <w:rFonts w:ascii="Times New Roman" w:hAnsi="Times New Roman" w:cs="Times New Roman"/>
          <w:sz w:val="24"/>
          <w:szCs w:val="24"/>
        </w:rPr>
        <w:t>for the rest of the assets’ lifespan.</w:t>
      </w:r>
    </w:p>
    <w:p w:rsidR="000626FB" w:rsidRDefault="00F027D3" w:rsidP="005E10DE">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As a result, there will be no cumulative change in the company's income statement within the period of change or the previous year.</w:t>
      </w:r>
      <w:r w:rsidR="00EC005F">
        <w:rPr>
          <w:rFonts w:ascii="Times New Roman" w:hAnsi="Times New Roman" w:cs="Times New Roman"/>
          <w:sz w:val="24"/>
          <w:szCs w:val="24"/>
        </w:rPr>
        <w:t xml:space="preserve"> The carrying amounts of the depreciable assets will be the same at the start of the first period when the financial statements will be presented. The company will be required to offset the amount of the initial retained earnings</w:t>
      </w:r>
      <w:r w:rsidR="00577396">
        <w:rPr>
          <w:rFonts w:ascii="Times New Roman" w:hAnsi="Times New Roman" w:cs="Times New Roman"/>
          <w:sz w:val="24"/>
          <w:szCs w:val="24"/>
        </w:rPr>
        <w:t xml:space="preserve"> and balance at the end of the financial year when the change was effected (Bragg, 2019)</w:t>
      </w:r>
      <w:r>
        <w:rPr>
          <w:rFonts w:ascii="Times New Roman" w:hAnsi="Times New Roman" w:cs="Times New Roman"/>
          <w:sz w:val="24"/>
          <w:szCs w:val="24"/>
        </w:rPr>
        <w:t xml:space="preserve"> The com</w:t>
      </w:r>
      <w:r>
        <w:rPr>
          <w:rFonts w:ascii="Times New Roman" w:hAnsi="Times New Roman" w:cs="Times New Roman"/>
          <w:sz w:val="24"/>
          <w:szCs w:val="24"/>
        </w:rPr>
        <w:t>pany will be required to disclose the new method it has adopted and the reason for adoption. Besides, the company must provide a clear explanation of why the new change should be made. In this regard, the new method will be used in the acquisition of new e</w:t>
      </w:r>
      <w:r>
        <w:rPr>
          <w:rFonts w:ascii="Times New Roman" w:hAnsi="Times New Roman" w:cs="Times New Roman"/>
          <w:sz w:val="24"/>
          <w:szCs w:val="24"/>
        </w:rPr>
        <w:t xml:space="preserve">quipment as well as accounting for existing ones.  </w:t>
      </w:r>
    </w:p>
    <w:p w:rsidR="00577396" w:rsidRDefault="00577396" w:rsidP="00AB599E">
      <w:pPr>
        <w:spacing w:line="480" w:lineRule="auto"/>
        <w:rPr>
          <w:rFonts w:ascii="Times New Roman" w:hAnsi="Times New Roman" w:cs="Times New Roman"/>
          <w:sz w:val="24"/>
          <w:szCs w:val="24"/>
        </w:rPr>
      </w:pPr>
    </w:p>
    <w:p w:rsidR="00577396" w:rsidRDefault="00577396" w:rsidP="00AB599E">
      <w:pPr>
        <w:spacing w:line="480" w:lineRule="auto"/>
        <w:rPr>
          <w:rFonts w:ascii="Times New Roman" w:hAnsi="Times New Roman" w:cs="Times New Roman"/>
          <w:sz w:val="24"/>
          <w:szCs w:val="24"/>
        </w:rPr>
      </w:pPr>
    </w:p>
    <w:p w:rsidR="00577396" w:rsidRDefault="00F027D3" w:rsidP="005773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77396" w:rsidRDefault="00F027D3" w:rsidP="00577396">
      <w:pPr>
        <w:spacing w:line="480" w:lineRule="auto"/>
        <w:rPr>
          <w:rFonts w:ascii="Times New Roman" w:hAnsi="Times New Roman" w:cs="Times New Roman"/>
          <w:sz w:val="24"/>
          <w:szCs w:val="24"/>
        </w:rPr>
      </w:pPr>
      <w:r>
        <w:rPr>
          <w:rFonts w:ascii="Times New Roman" w:hAnsi="Times New Roman" w:cs="Times New Roman"/>
          <w:sz w:val="24"/>
          <w:szCs w:val="24"/>
        </w:rPr>
        <w:t>Bragg, S. (2019 a). Change in reporting entity. Accounting Tools. Retrieved from</w:t>
      </w:r>
    </w:p>
    <w:p w:rsidR="00577396" w:rsidRDefault="00F027D3" w:rsidP="0057739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77396">
          <w:rPr>
            <w:rStyle w:val="Hyperlink"/>
            <w:rFonts w:ascii="Times New Roman" w:hAnsi="Times New Roman" w:cs="Times New Roman"/>
            <w:sz w:val="24"/>
            <w:szCs w:val="24"/>
          </w:rPr>
          <w:t>https://www.acco</w:t>
        </w:r>
        <w:r w:rsidRPr="00577396">
          <w:rPr>
            <w:rStyle w:val="Hyperlink"/>
            <w:rFonts w:ascii="Times New Roman" w:hAnsi="Times New Roman" w:cs="Times New Roman"/>
            <w:sz w:val="24"/>
            <w:szCs w:val="24"/>
          </w:rPr>
          <w:t>untingtools.com/articles/2017/5/14/change-in-reporting-entity</w:t>
        </w:r>
      </w:hyperlink>
    </w:p>
    <w:p w:rsidR="00577396" w:rsidRDefault="00F027D3" w:rsidP="00577396">
      <w:pPr>
        <w:spacing w:line="480" w:lineRule="auto"/>
        <w:rPr>
          <w:rFonts w:ascii="Times New Roman" w:hAnsi="Times New Roman" w:cs="Times New Roman"/>
          <w:sz w:val="24"/>
          <w:szCs w:val="24"/>
        </w:rPr>
      </w:pPr>
      <w:r>
        <w:rPr>
          <w:rFonts w:ascii="Times New Roman" w:hAnsi="Times New Roman" w:cs="Times New Roman"/>
          <w:sz w:val="24"/>
          <w:szCs w:val="24"/>
        </w:rPr>
        <w:t>Bragg, S. (2019b). Change in accounting principle. Accounting Tools. Retrieved from</w:t>
      </w:r>
    </w:p>
    <w:p w:rsidR="00577396" w:rsidRPr="00B93EF9" w:rsidRDefault="00F027D3" w:rsidP="0057739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577396">
          <w:rPr>
            <w:rStyle w:val="Hyperlink"/>
            <w:rFonts w:ascii="Times New Roman" w:hAnsi="Times New Roman" w:cs="Times New Roman"/>
            <w:sz w:val="24"/>
            <w:szCs w:val="24"/>
          </w:rPr>
          <w:t>https://www.accountingtools.com/articles/2017/5/15/change-in-accounting-principle</w:t>
        </w:r>
      </w:hyperlink>
    </w:p>
    <w:p w:rsidR="00FD2D32" w:rsidRDefault="00FD2D32" w:rsidP="00FD2D32">
      <w:pPr>
        <w:spacing w:line="480" w:lineRule="auto"/>
        <w:rPr>
          <w:rFonts w:ascii="Times New Roman" w:hAnsi="Times New Roman" w:cs="Times New Roman"/>
          <w:sz w:val="24"/>
          <w:szCs w:val="24"/>
        </w:rPr>
      </w:pPr>
    </w:p>
    <w:p w:rsidR="00FD2D32" w:rsidRPr="00FD2D32" w:rsidRDefault="00FD2D32" w:rsidP="00FD2D32">
      <w:pPr>
        <w:rPr>
          <w:rFonts w:ascii="Times New Roman" w:hAnsi="Times New Roman" w:cs="Times New Roman"/>
          <w:sz w:val="24"/>
          <w:szCs w:val="24"/>
        </w:rPr>
      </w:pPr>
    </w:p>
    <w:sectPr w:rsidR="00FD2D32" w:rsidRPr="00FD2D32" w:rsidSect="00FD2D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7D3" w:rsidRDefault="00F027D3">
      <w:pPr>
        <w:spacing w:after="0" w:line="240" w:lineRule="auto"/>
      </w:pPr>
      <w:r>
        <w:separator/>
      </w:r>
    </w:p>
  </w:endnote>
  <w:endnote w:type="continuationSeparator" w:id="0">
    <w:p w:rsidR="00F027D3" w:rsidRDefault="00F0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7D3" w:rsidRDefault="00F027D3">
      <w:pPr>
        <w:spacing w:after="0" w:line="240" w:lineRule="auto"/>
      </w:pPr>
      <w:r>
        <w:separator/>
      </w:r>
    </w:p>
  </w:footnote>
  <w:footnote w:type="continuationSeparator" w:id="0">
    <w:p w:rsidR="00F027D3" w:rsidRDefault="00F02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D32" w:rsidRPr="00FD2D32" w:rsidRDefault="00F027D3" w:rsidP="00FD2D32">
    <w:pPr>
      <w:pStyle w:val="Header"/>
      <w:spacing w:line="480" w:lineRule="auto"/>
      <w:rPr>
        <w:rFonts w:ascii="Times New Roman" w:hAnsi="Times New Roman" w:cs="Times New Roman"/>
        <w:sz w:val="24"/>
        <w:szCs w:val="24"/>
      </w:rPr>
    </w:pPr>
    <w:r w:rsidRPr="00FD2D32">
      <w:rPr>
        <w:rFonts w:ascii="Times New Roman" w:hAnsi="Times New Roman" w:cs="Times New Roman"/>
        <w:sz w:val="24"/>
        <w:szCs w:val="24"/>
      </w:rPr>
      <w:t xml:space="preserve">ACCOUNTING CHANGES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56399002"/>
        <w:docPartObj>
          <w:docPartGallery w:val="Page Numbers (Top of Page)"/>
          <w:docPartUnique/>
        </w:docPartObj>
      </w:sdtPr>
      <w:sdtEndPr>
        <w:rPr>
          <w:noProof/>
        </w:rPr>
      </w:sdtEndPr>
      <w:sdtContent>
        <w:r w:rsidRPr="00FD2D32">
          <w:rPr>
            <w:rFonts w:ascii="Times New Roman" w:hAnsi="Times New Roman" w:cs="Times New Roman"/>
            <w:sz w:val="24"/>
            <w:szCs w:val="24"/>
          </w:rPr>
          <w:fldChar w:fldCharType="begin"/>
        </w:r>
        <w:r w:rsidRPr="00FD2D32">
          <w:rPr>
            <w:rFonts w:ascii="Times New Roman" w:hAnsi="Times New Roman" w:cs="Times New Roman"/>
            <w:sz w:val="24"/>
            <w:szCs w:val="24"/>
          </w:rPr>
          <w:instrText xml:space="preserve"> PAGE   \* MERGEFORMAT </w:instrText>
        </w:r>
        <w:r w:rsidRPr="00FD2D32">
          <w:rPr>
            <w:rFonts w:ascii="Times New Roman" w:hAnsi="Times New Roman" w:cs="Times New Roman"/>
            <w:sz w:val="24"/>
            <w:szCs w:val="24"/>
          </w:rPr>
          <w:fldChar w:fldCharType="separate"/>
        </w:r>
        <w:r w:rsidR="005E10DE">
          <w:rPr>
            <w:rFonts w:ascii="Times New Roman" w:hAnsi="Times New Roman" w:cs="Times New Roman"/>
            <w:noProof/>
            <w:sz w:val="24"/>
            <w:szCs w:val="24"/>
          </w:rPr>
          <w:t>5</w:t>
        </w:r>
        <w:r w:rsidRPr="00FD2D32">
          <w:rPr>
            <w:rFonts w:ascii="Times New Roman" w:hAnsi="Times New Roman" w:cs="Times New Roman"/>
            <w:noProof/>
            <w:sz w:val="24"/>
            <w:szCs w:val="24"/>
          </w:rPr>
          <w:fldChar w:fldCharType="end"/>
        </w:r>
      </w:sdtContent>
    </w:sdt>
  </w:p>
  <w:p w:rsidR="00FD2D32" w:rsidRDefault="00FD2D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D32" w:rsidRPr="00FD2D32" w:rsidRDefault="00F027D3" w:rsidP="00FD2D32">
    <w:pPr>
      <w:pStyle w:val="Header"/>
      <w:spacing w:line="480" w:lineRule="auto"/>
      <w:rPr>
        <w:rFonts w:ascii="Times New Roman" w:hAnsi="Times New Roman" w:cs="Times New Roman"/>
        <w:sz w:val="24"/>
        <w:szCs w:val="24"/>
      </w:rPr>
    </w:pPr>
    <w:r w:rsidRPr="00FD2D32">
      <w:rPr>
        <w:rFonts w:ascii="Times New Roman" w:hAnsi="Times New Roman" w:cs="Times New Roman"/>
        <w:sz w:val="24"/>
        <w:szCs w:val="24"/>
      </w:rPr>
      <w:t>Running head:  ACCOUNTING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D2D32">
      <w:rPr>
        <w:rFonts w:ascii="Times New Roman" w:hAnsi="Times New Roman" w:cs="Times New Roman"/>
        <w:sz w:val="24"/>
        <w:szCs w:val="24"/>
      </w:rPr>
      <w:t xml:space="preserve"> </w:t>
    </w:r>
    <w:sdt>
      <w:sdtPr>
        <w:rPr>
          <w:rFonts w:ascii="Times New Roman" w:hAnsi="Times New Roman" w:cs="Times New Roman"/>
          <w:sz w:val="24"/>
          <w:szCs w:val="24"/>
        </w:rPr>
        <w:id w:val="1689263771"/>
        <w:docPartObj>
          <w:docPartGallery w:val="Page Numbers (Top of Page)"/>
          <w:docPartUnique/>
        </w:docPartObj>
      </w:sdtPr>
      <w:sdtEndPr>
        <w:rPr>
          <w:noProof/>
        </w:rPr>
      </w:sdtEndPr>
      <w:sdtContent>
        <w:r w:rsidRPr="00FD2D32">
          <w:rPr>
            <w:rFonts w:ascii="Times New Roman" w:hAnsi="Times New Roman" w:cs="Times New Roman"/>
            <w:sz w:val="24"/>
            <w:szCs w:val="24"/>
          </w:rPr>
          <w:fldChar w:fldCharType="begin"/>
        </w:r>
        <w:r w:rsidRPr="00FD2D32">
          <w:rPr>
            <w:rFonts w:ascii="Times New Roman" w:hAnsi="Times New Roman" w:cs="Times New Roman"/>
            <w:sz w:val="24"/>
            <w:szCs w:val="24"/>
          </w:rPr>
          <w:instrText xml:space="preserve"> PAGE   \* MERGEFORMAT </w:instrText>
        </w:r>
        <w:r w:rsidRPr="00FD2D32">
          <w:rPr>
            <w:rFonts w:ascii="Times New Roman" w:hAnsi="Times New Roman" w:cs="Times New Roman"/>
            <w:sz w:val="24"/>
            <w:szCs w:val="24"/>
          </w:rPr>
          <w:fldChar w:fldCharType="separate"/>
        </w:r>
        <w:r w:rsidR="005E10DE">
          <w:rPr>
            <w:rFonts w:ascii="Times New Roman" w:hAnsi="Times New Roman" w:cs="Times New Roman"/>
            <w:noProof/>
            <w:sz w:val="24"/>
            <w:szCs w:val="24"/>
          </w:rPr>
          <w:t>1</w:t>
        </w:r>
        <w:r w:rsidRPr="00FD2D32">
          <w:rPr>
            <w:rFonts w:ascii="Times New Roman" w:hAnsi="Times New Roman" w:cs="Times New Roman"/>
            <w:noProof/>
            <w:sz w:val="24"/>
            <w:szCs w:val="24"/>
          </w:rPr>
          <w:fldChar w:fldCharType="end"/>
        </w:r>
      </w:sdtContent>
    </w:sdt>
  </w:p>
  <w:p w:rsidR="00FD2D32" w:rsidRDefault="00FD2D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32"/>
    <w:rsid w:val="000626FB"/>
    <w:rsid w:val="000F6698"/>
    <w:rsid w:val="0013401F"/>
    <w:rsid w:val="00171CFC"/>
    <w:rsid w:val="001D2666"/>
    <w:rsid w:val="002A3F79"/>
    <w:rsid w:val="00392BD1"/>
    <w:rsid w:val="003F3479"/>
    <w:rsid w:val="00577396"/>
    <w:rsid w:val="00595B46"/>
    <w:rsid w:val="005A22E5"/>
    <w:rsid w:val="005E10DE"/>
    <w:rsid w:val="0076044E"/>
    <w:rsid w:val="0080412D"/>
    <w:rsid w:val="00850E79"/>
    <w:rsid w:val="00910ACB"/>
    <w:rsid w:val="00AB599E"/>
    <w:rsid w:val="00B93EF9"/>
    <w:rsid w:val="00BD4F4E"/>
    <w:rsid w:val="00EC005F"/>
    <w:rsid w:val="00F027D3"/>
    <w:rsid w:val="00FD2D32"/>
    <w:rsid w:val="00FE3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D32"/>
  </w:style>
  <w:style w:type="paragraph" w:styleId="Footer">
    <w:name w:val="footer"/>
    <w:basedOn w:val="Normal"/>
    <w:link w:val="FooterChar"/>
    <w:uiPriority w:val="99"/>
    <w:unhideWhenUsed/>
    <w:rsid w:val="00FD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D32"/>
  </w:style>
  <w:style w:type="character" w:styleId="Hyperlink">
    <w:name w:val="Hyperlink"/>
    <w:basedOn w:val="DefaultParagraphFont"/>
    <w:uiPriority w:val="99"/>
    <w:unhideWhenUsed/>
    <w:rsid w:val="005773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D32"/>
  </w:style>
  <w:style w:type="paragraph" w:styleId="Footer">
    <w:name w:val="footer"/>
    <w:basedOn w:val="Normal"/>
    <w:link w:val="FooterChar"/>
    <w:uiPriority w:val="99"/>
    <w:unhideWhenUsed/>
    <w:rsid w:val="00FD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D32"/>
  </w:style>
  <w:style w:type="character" w:styleId="Hyperlink">
    <w:name w:val="Hyperlink"/>
    <w:basedOn w:val="DefaultParagraphFont"/>
    <w:uiPriority w:val="99"/>
    <w:unhideWhenUsed/>
    <w:rsid w:val="005773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ountingtools.com/articles/2017/5/15/change-in-accounting-principle" TargetMode="External"/><Relationship Id="rId3" Type="http://schemas.openxmlformats.org/officeDocument/2006/relationships/settings" Target="settings.xml"/><Relationship Id="rId7" Type="http://schemas.openxmlformats.org/officeDocument/2006/relationships/hyperlink" Target="https://www.accountingtools.com/articles/2017/5/14/change-in-reporting-entity"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5</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2019-11-05T12:09:00Z</dcterms:created>
  <dcterms:modified xsi:type="dcterms:W3CDTF">2019-11-05T20:20:00Z</dcterms:modified>
</cp:coreProperties>
</file>